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8CF50" w14:textId="7E69EB97" w:rsidR="005123DE" w:rsidRPr="00596E19" w:rsidRDefault="003E34B3">
      <w:pPr>
        <w:rPr>
          <w:rFonts w:cstheme="minorHAnsi"/>
        </w:rPr>
      </w:pPr>
      <w:r w:rsidRPr="00596E19">
        <w:rPr>
          <w:rFonts w:cstheme="minorHAnsi"/>
        </w:rPr>
        <w:t xml:space="preserve">ICAPS – Model 1 – Sample – </w:t>
      </w:r>
      <w:r w:rsidR="00877078">
        <w:rPr>
          <w:rFonts w:cstheme="minorHAnsi"/>
        </w:rPr>
        <w:t>Early Childhood Education</w:t>
      </w:r>
    </w:p>
    <w:tbl>
      <w:tblPr>
        <w:tblStyle w:val="TableGrid"/>
        <w:tblW w:w="0" w:type="auto"/>
        <w:tblLook w:val="04A0" w:firstRow="1" w:lastRow="0" w:firstColumn="1" w:lastColumn="0" w:noHBand="0" w:noVBand="1"/>
      </w:tblPr>
      <w:tblGrid>
        <w:gridCol w:w="1271"/>
        <w:gridCol w:w="8079"/>
      </w:tblGrid>
      <w:tr w:rsidR="00596E19" w:rsidRPr="00596E19" w14:paraId="285A76DE" w14:textId="77777777" w:rsidTr="00596E19">
        <w:tc>
          <w:tcPr>
            <w:tcW w:w="1260" w:type="dxa"/>
          </w:tcPr>
          <w:p w14:paraId="3A662662" w14:textId="0BF97350" w:rsidR="003E34B3" w:rsidRPr="00596E19" w:rsidRDefault="003E34B3">
            <w:pPr>
              <w:rPr>
                <w:rFonts w:cstheme="minorHAnsi"/>
              </w:rPr>
            </w:pPr>
            <w:r w:rsidRPr="00596E19">
              <w:rPr>
                <w:rFonts w:cstheme="minorHAnsi"/>
              </w:rPr>
              <w:t>Component</w:t>
            </w:r>
          </w:p>
        </w:tc>
        <w:tc>
          <w:tcPr>
            <w:tcW w:w="8090" w:type="dxa"/>
          </w:tcPr>
          <w:p w14:paraId="7BDB550B" w14:textId="61A8D3F8" w:rsidR="003E34B3" w:rsidRPr="00596E19" w:rsidRDefault="003E34B3">
            <w:pPr>
              <w:rPr>
                <w:rFonts w:cstheme="minorHAnsi"/>
              </w:rPr>
            </w:pPr>
            <w:r w:rsidRPr="00596E19">
              <w:rPr>
                <w:rFonts w:cstheme="minorHAnsi"/>
              </w:rPr>
              <w:t>Description</w:t>
            </w:r>
          </w:p>
        </w:tc>
      </w:tr>
      <w:tr w:rsidR="00596E19" w:rsidRPr="00596E19" w14:paraId="4BE4D549" w14:textId="77777777" w:rsidTr="00596E19">
        <w:tc>
          <w:tcPr>
            <w:tcW w:w="1260" w:type="dxa"/>
          </w:tcPr>
          <w:p w14:paraId="17E8159B" w14:textId="77777777" w:rsidR="003E34B3" w:rsidRPr="00596E19" w:rsidRDefault="003E34B3">
            <w:pPr>
              <w:rPr>
                <w:rFonts w:cstheme="minorHAnsi"/>
              </w:rPr>
            </w:pPr>
            <w:r w:rsidRPr="00596E19">
              <w:rPr>
                <w:rFonts w:cstheme="minorHAnsi"/>
              </w:rPr>
              <w:t>Adult Education</w:t>
            </w:r>
          </w:p>
          <w:p w14:paraId="1541D9A2" w14:textId="77777777" w:rsidR="008F1CF7" w:rsidRPr="00596E19" w:rsidRDefault="008F1CF7" w:rsidP="008F1CF7">
            <w:pPr>
              <w:rPr>
                <w:rFonts w:cstheme="minorHAnsi"/>
              </w:rPr>
            </w:pPr>
          </w:p>
          <w:p w14:paraId="2A58B202" w14:textId="77777777" w:rsidR="008F1CF7" w:rsidRPr="00596E19" w:rsidRDefault="008F1CF7" w:rsidP="008F1CF7">
            <w:pPr>
              <w:rPr>
                <w:rFonts w:cstheme="minorHAnsi"/>
              </w:rPr>
            </w:pPr>
          </w:p>
          <w:p w14:paraId="67EF26A3" w14:textId="77777777" w:rsidR="008F1CF7" w:rsidRPr="00596E19" w:rsidRDefault="008F1CF7" w:rsidP="008F1CF7">
            <w:pPr>
              <w:rPr>
                <w:rFonts w:cstheme="minorHAnsi"/>
              </w:rPr>
            </w:pPr>
          </w:p>
          <w:p w14:paraId="04A02422" w14:textId="77777777" w:rsidR="008F1CF7" w:rsidRPr="00596E19" w:rsidRDefault="008F1CF7" w:rsidP="008F1CF7">
            <w:pPr>
              <w:rPr>
                <w:rFonts w:cstheme="minorHAnsi"/>
              </w:rPr>
            </w:pPr>
          </w:p>
          <w:p w14:paraId="4B1310D6" w14:textId="77777777" w:rsidR="008F1CF7" w:rsidRPr="00596E19" w:rsidRDefault="008F1CF7" w:rsidP="008F1CF7">
            <w:pPr>
              <w:rPr>
                <w:rFonts w:cstheme="minorHAnsi"/>
              </w:rPr>
            </w:pPr>
          </w:p>
          <w:p w14:paraId="318EDD78" w14:textId="250828F6" w:rsidR="008F1CF7" w:rsidRPr="00596E19" w:rsidRDefault="008F1CF7" w:rsidP="008F1CF7">
            <w:pPr>
              <w:jc w:val="center"/>
              <w:rPr>
                <w:rFonts w:cstheme="minorHAnsi"/>
              </w:rPr>
            </w:pPr>
          </w:p>
        </w:tc>
        <w:tc>
          <w:tcPr>
            <w:tcW w:w="8090" w:type="dxa"/>
          </w:tcPr>
          <w:p w14:paraId="72C8ECD8" w14:textId="41EDC810" w:rsidR="003E34B3" w:rsidRPr="009375B4" w:rsidRDefault="009375B4" w:rsidP="008F1CF7">
            <w:pPr>
              <w:rPr>
                <w:rFonts w:eastAsia="Times New Roman" w:cstheme="minorHAnsi"/>
              </w:rPr>
            </w:pPr>
            <w:r>
              <w:rPr>
                <w:rFonts w:eastAsia="Times New Roman" w:cstheme="minorHAnsi"/>
              </w:rPr>
              <w:t>S</w:t>
            </w:r>
            <w:r w:rsidR="002407E2" w:rsidRPr="009375B4">
              <w:rPr>
                <w:rFonts w:eastAsia="Times New Roman" w:cstheme="minorHAnsi"/>
              </w:rPr>
              <w:t xml:space="preserve">tudents will build upon the activities, programs, and services designed in the Early Childhood Education Bridge to continue helping them acquire a combination of skills. Many of these skills will be strengthened in the Support Class. Focus will be on building basic academic skills and critical thinking skills, </w:t>
            </w:r>
            <w:proofErr w:type="gramStart"/>
            <w:r w:rsidR="002407E2" w:rsidRPr="009375B4">
              <w:rPr>
                <w:rFonts w:eastAsia="Times New Roman" w:cstheme="minorHAnsi"/>
              </w:rPr>
              <w:t>through the use of</w:t>
            </w:r>
            <w:proofErr w:type="gramEnd"/>
            <w:r w:rsidR="002407E2" w:rsidRPr="009375B4">
              <w:rPr>
                <w:rFonts w:eastAsia="Times New Roman" w:cstheme="minorHAnsi"/>
              </w:rPr>
              <w:t xml:space="preserve"> reading and writing assignments, documentation of case notes planning of safe play lessons, and nutritious meals. Students will also demonstrate organized and coherent communication, both oral and written. Students will demonstrate competence in using academic technology including finding, </w:t>
            </w:r>
            <w:proofErr w:type="gramStart"/>
            <w:r w:rsidR="002407E2" w:rsidRPr="009375B4">
              <w:rPr>
                <w:rFonts w:eastAsia="Times New Roman" w:cstheme="minorHAnsi"/>
              </w:rPr>
              <w:t>evaluating</w:t>
            </w:r>
            <w:proofErr w:type="gramEnd"/>
            <w:r w:rsidR="002407E2" w:rsidRPr="009375B4">
              <w:rPr>
                <w:rFonts w:eastAsia="Times New Roman" w:cstheme="minorHAnsi"/>
              </w:rPr>
              <w:t xml:space="preserve"> and utilizing appropriate information sources. Students will demonstrate an understanding of cultural issues. </w:t>
            </w:r>
          </w:p>
          <w:p w14:paraId="3C969811" w14:textId="77777777" w:rsidR="002407E2" w:rsidRPr="009375B4" w:rsidRDefault="002407E2" w:rsidP="008F1CF7">
            <w:pPr>
              <w:rPr>
                <w:rFonts w:eastAsia="Times New Roman" w:cstheme="minorHAnsi"/>
              </w:rPr>
            </w:pPr>
          </w:p>
          <w:p w14:paraId="50D30E9F" w14:textId="4549D7BC" w:rsidR="002407E2" w:rsidRPr="009375B4" w:rsidRDefault="002407E2" w:rsidP="008F1CF7">
            <w:pPr>
              <w:rPr>
                <w:rFonts w:eastAsia="Times New Roman" w:cstheme="minorHAnsi"/>
              </w:rPr>
            </w:pPr>
            <w:r w:rsidRPr="009375B4">
              <w:rPr>
                <w:rFonts w:eastAsia="Times New Roman" w:cstheme="minorHAnsi"/>
              </w:rPr>
              <w:t xml:space="preserve">As a result of utilizing the co-teaching format, the adult education teacher </w:t>
            </w:r>
            <w:proofErr w:type="gramStart"/>
            <w:r w:rsidRPr="009375B4">
              <w:rPr>
                <w:rFonts w:eastAsia="Times New Roman" w:cstheme="minorHAnsi"/>
              </w:rPr>
              <w:t>is able to</w:t>
            </w:r>
            <w:proofErr w:type="gramEnd"/>
            <w:r w:rsidRPr="009375B4">
              <w:rPr>
                <w:rFonts w:eastAsia="Times New Roman" w:cstheme="minorHAnsi"/>
              </w:rPr>
              <w:t xml:space="preserve"> provide instruction that is both contextualized and naturally integrated into the course work the students are engaged with in their content classes. Contextualized instruction integrates the content that is being delivered in the credit bearing classes into the adult education support classes in their studies of math, reading, language development, academic language development and occupational knowledge. For example, using academic vocabulary from the content classes, students will use accurate language and domain specific vocabulary to write an informative essay focusing on a topic in Early Childhood Development. In math, students will create activities that introduce and support mathematical concepts and language development through hands on activities requiring strong foundational mathematical skills.</w:t>
            </w:r>
          </w:p>
        </w:tc>
      </w:tr>
      <w:tr w:rsidR="00596E19" w:rsidRPr="00596E19" w14:paraId="04BD4D77" w14:textId="77777777" w:rsidTr="00596E19">
        <w:tc>
          <w:tcPr>
            <w:tcW w:w="1260" w:type="dxa"/>
          </w:tcPr>
          <w:p w14:paraId="24D71E19" w14:textId="007AF448" w:rsidR="003E34B3" w:rsidRPr="00596E19" w:rsidRDefault="003E34B3">
            <w:pPr>
              <w:rPr>
                <w:rFonts w:cstheme="minorHAnsi"/>
              </w:rPr>
            </w:pPr>
            <w:r w:rsidRPr="00596E19">
              <w:rPr>
                <w:rFonts w:cstheme="minorHAnsi"/>
              </w:rPr>
              <w:t>Workplace Skills</w:t>
            </w:r>
          </w:p>
        </w:tc>
        <w:tc>
          <w:tcPr>
            <w:tcW w:w="8090" w:type="dxa"/>
          </w:tcPr>
          <w:p w14:paraId="7C7D552B" w14:textId="77777777" w:rsidR="009375B4" w:rsidRPr="009375B4" w:rsidRDefault="009375B4" w:rsidP="009375B4">
            <w:pPr>
              <w:rPr>
                <w:rFonts w:eastAsia="Times New Roman" w:cstheme="minorHAnsi"/>
              </w:rPr>
            </w:pPr>
            <w:r w:rsidRPr="009375B4">
              <w:rPr>
                <w:rFonts w:eastAsia="Times New Roman" w:cstheme="minorHAnsi"/>
              </w:rPr>
              <w:t>Digital literacy skills, and self-management skills, including competencies in utilizing resources, using information, working with others, understanding systems, and obtaining skills necessary for successful transition into and completion of postsecondary education will be built upon in the Support and Content class.</w:t>
            </w:r>
          </w:p>
          <w:p w14:paraId="6BAA70FB" w14:textId="72F22BEE" w:rsidR="008F1CF7" w:rsidRPr="009375B4" w:rsidRDefault="008F1CF7">
            <w:pPr>
              <w:rPr>
                <w:rFonts w:eastAsia="Times New Roman" w:cstheme="minorHAnsi"/>
              </w:rPr>
            </w:pPr>
          </w:p>
        </w:tc>
      </w:tr>
      <w:tr w:rsidR="00596E19" w:rsidRPr="00596E19" w14:paraId="423A66E3" w14:textId="77777777" w:rsidTr="00596E19">
        <w:tc>
          <w:tcPr>
            <w:tcW w:w="1260" w:type="dxa"/>
          </w:tcPr>
          <w:p w14:paraId="6D518081" w14:textId="75C2C67C" w:rsidR="003E34B3" w:rsidRPr="00596E19" w:rsidRDefault="003E34B3">
            <w:pPr>
              <w:rPr>
                <w:rFonts w:cstheme="minorHAnsi"/>
              </w:rPr>
            </w:pPr>
            <w:r w:rsidRPr="00596E19">
              <w:rPr>
                <w:rFonts w:cstheme="minorHAnsi"/>
              </w:rPr>
              <w:t>Workforce Training</w:t>
            </w:r>
          </w:p>
        </w:tc>
        <w:tc>
          <w:tcPr>
            <w:tcW w:w="8090" w:type="dxa"/>
          </w:tcPr>
          <w:p w14:paraId="6ABBD07E" w14:textId="2587FF8F" w:rsidR="003E34B3" w:rsidRPr="009375B4" w:rsidRDefault="002407E2">
            <w:pPr>
              <w:rPr>
                <w:rFonts w:cstheme="minorHAnsi"/>
              </w:rPr>
            </w:pPr>
            <w:r w:rsidRPr="009375B4">
              <w:rPr>
                <w:rFonts w:eastAsia="Times New Roman" w:cstheme="minorHAnsi"/>
              </w:rPr>
              <w:t>Child Development Professional, Certificate of Completion SS 052</w:t>
            </w:r>
            <w:r w:rsidRPr="009375B4">
              <w:rPr>
                <w:rFonts w:eastAsia="Times New Roman" w:cstheme="minorHAnsi"/>
              </w:rPr>
              <w:br/>
              <w:t>ICCB Approved Total Program Hours: 18 Semester Hours</w:t>
            </w:r>
            <w:r w:rsidRPr="009375B4">
              <w:rPr>
                <w:rFonts w:eastAsia="Times New Roman" w:cstheme="minorHAnsi"/>
              </w:rPr>
              <w:br/>
            </w:r>
            <w:r w:rsidRPr="009375B4">
              <w:rPr>
                <w:rFonts w:eastAsia="Times New Roman" w:cstheme="minorHAnsi"/>
              </w:rPr>
              <w:br/>
              <w:t>Course Orientation to Online Learning Cohort participants</w:t>
            </w:r>
            <w:r w:rsidR="009375B4">
              <w:rPr>
                <w:rFonts w:eastAsia="Times New Roman" w:cstheme="minorHAnsi"/>
              </w:rPr>
              <w:t xml:space="preserve"> who</w:t>
            </w:r>
            <w:r w:rsidRPr="009375B4">
              <w:rPr>
                <w:rFonts w:eastAsia="Times New Roman" w:cstheme="minorHAnsi"/>
              </w:rPr>
              <w:t xml:space="preserve"> complete Bridge course. Get books, complete online orientations, set up scholarship</w:t>
            </w:r>
            <w:r w:rsidRPr="009375B4">
              <w:rPr>
                <w:rFonts w:eastAsia="Times New Roman" w:cstheme="minorHAnsi"/>
              </w:rPr>
              <w:br/>
            </w:r>
            <w:r w:rsidRPr="009375B4">
              <w:rPr>
                <w:rFonts w:eastAsia="Times New Roman" w:cstheme="minorHAnsi"/>
              </w:rPr>
              <w:br/>
              <w:t>First Semester</w:t>
            </w:r>
            <w:r w:rsidRPr="009375B4">
              <w:rPr>
                <w:rFonts w:eastAsia="Times New Roman" w:cstheme="minorHAnsi"/>
              </w:rPr>
              <w:br/>
            </w:r>
            <w:r w:rsidRPr="009375B4">
              <w:rPr>
                <w:rFonts w:eastAsia="Times New Roman" w:cstheme="minorHAnsi"/>
              </w:rPr>
              <w:br/>
            </w:r>
            <w:r w:rsidRPr="00CA78D3">
              <w:rPr>
                <w:rFonts w:eastAsia="Times New Roman" w:cstheme="minorHAnsi"/>
                <w:i/>
                <w:iCs/>
              </w:rPr>
              <w:t xml:space="preserve">A </w:t>
            </w:r>
            <w:r w:rsidR="00CA78D3" w:rsidRPr="00CA78D3">
              <w:rPr>
                <w:rFonts w:eastAsia="Times New Roman" w:cstheme="minorHAnsi"/>
                <w:i/>
                <w:iCs/>
              </w:rPr>
              <w:t>– First 8 weeks</w:t>
            </w:r>
            <w:r w:rsidR="00CA78D3">
              <w:rPr>
                <w:rFonts w:eastAsia="Times New Roman" w:cstheme="minorHAnsi"/>
              </w:rPr>
              <w:t xml:space="preserve"> </w:t>
            </w:r>
            <w:r w:rsidRPr="009375B4">
              <w:rPr>
                <w:rFonts w:eastAsia="Times New Roman" w:cstheme="minorHAnsi"/>
              </w:rPr>
              <w:br/>
              <w:t>CDEV 210 Child, Family and Community 3</w:t>
            </w:r>
            <w:r w:rsidRPr="009375B4">
              <w:rPr>
                <w:rFonts w:eastAsia="Times New Roman" w:cstheme="minorHAnsi"/>
              </w:rPr>
              <w:br/>
              <w:t>PSYC 101 General Psychology 3</w:t>
            </w:r>
            <w:r w:rsidRPr="009375B4">
              <w:rPr>
                <w:rFonts w:eastAsia="Times New Roman" w:cstheme="minorHAnsi"/>
              </w:rPr>
              <w:br/>
              <w:t>CDEV 137 could be taken in 6 week summer instead**</w:t>
            </w:r>
            <w:r w:rsidRPr="009375B4">
              <w:rPr>
                <w:rFonts w:eastAsia="Times New Roman" w:cstheme="minorHAnsi"/>
              </w:rPr>
              <w:br/>
              <w:t>Total Semester Hours: 6</w:t>
            </w:r>
            <w:r w:rsidRPr="009375B4">
              <w:rPr>
                <w:rFonts w:eastAsia="Times New Roman" w:cstheme="minorHAnsi"/>
              </w:rPr>
              <w:br/>
            </w:r>
            <w:r w:rsidRPr="009375B4">
              <w:rPr>
                <w:rFonts w:eastAsia="Times New Roman" w:cstheme="minorHAnsi"/>
              </w:rPr>
              <w:br/>
            </w:r>
            <w:r w:rsidRPr="00CA78D3">
              <w:rPr>
                <w:rFonts w:eastAsia="Times New Roman" w:cstheme="minorHAnsi"/>
                <w:i/>
                <w:iCs/>
              </w:rPr>
              <w:t xml:space="preserve">B </w:t>
            </w:r>
            <w:r w:rsidR="00CA78D3" w:rsidRPr="00CA78D3">
              <w:rPr>
                <w:rFonts w:eastAsia="Times New Roman" w:cstheme="minorHAnsi"/>
                <w:i/>
                <w:iCs/>
              </w:rPr>
              <w:t>– Second 8 weeks</w:t>
            </w:r>
            <w:r w:rsidRPr="009375B4">
              <w:rPr>
                <w:rFonts w:eastAsia="Times New Roman" w:cstheme="minorHAnsi"/>
              </w:rPr>
              <w:br/>
              <w:t xml:space="preserve">CDEV 208 Child Growth and </w:t>
            </w:r>
            <w:proofErr w:type="spellStart"/>
            <w:r w:rsidRPr="009375B4">
              <w:rPr>
                <w:rFonts w:eastAsia="Times New Roman" w:cstheme="minorHAnsi"/>
              </w:rPr>
              <w:t>Devt</w:t>
            </w:r>
            <w:proofErr w:type="spellEnd"/>
            <w:r w:rsidRPr="009375B4">
              <w:rPr>
                <w:rFonts w:eastAsia="Times New Roman" w:cstheme="minorHAnsi"/>
              </w:rPr>
              <w:t xml:space="preserve"> 3 PSYC 101</w:t>
            </w:r>
            <w:r w:rsidRPr="009375B4">
              <w:rPr>
                <w:rFonts w:eastAsia="Times New Roman" w:cstheme="minorHAnsi"/>
              </w:rPr>
              <w:br/>
              <w:t>CDEV 101 Intro to Early Childhood Educ 3 ENG 101 eligibility waived in this cohort</w:t>
            </w:r>
            <w:r w:rsidRPr="009375B4">
              <w:rPr>
                <w:rFonts w:eastAsia="Times New Roman" w:cstheme="minorHAnsi"/>
              </w:rPr>
              <w:br/>
              <w:t>Total Semester Hours: 6</w:t>
            </w:r>
            <w:r w:rsidRPr="009375B4">
              <w:rPr>
                <w:rFonts w:eastAsia="Times New Roman" w:cstheme="minorHAnsi"/>
              </w:rPr>
              <w:br/>
            </w:r>
            <w:r w:rsidRPr="009375B4">
              <w:rPr>
                <w:rFonts w:eastAsia="Times New Roman" w:cstheme="minorHAnsi"/>
              </w:rPr>
              <w:br/>
            </w:r>
            <w:r w:rsidRPr="009375B4">
              <w:rPr>
                <w:rFonts w:eastAsia="Times New Roman" w:cstheme="minorHAnsi"/>
              </w:rPr>
              <w:lastRenderedPageBreak/>
              <w:t>Second</w:t>
            </w:r>
            <w:r w:rsidR="00CA78D3">
              <w:rPr>
                <w:rFonts w:eastAsia="Times New Roman" w:cstheme="minorHAnsi"/>
              </w:rPr>
              <w:t xml:space="preserve"> </w:t>
            </w:r>
            <w:r w:rsidRPr="009375B4">
              <w:rPr>
                <w:rFonts w:eastAsia="Times New Roman" w:cstheme="minorHAnsi"/>
              </w:rPr>
              <w:t>Semester</w:t>
            </w:r>
            <w:r w:rsidRPr="009375B4">
              <w:rPr>
                <w:rFonts w:eastAsia="Times New Roman" w:cstheme="minorHAnsi"/>
              </w:rPr>
              <w:br/>
            </w:r>
            <w:r w:rsidRPr="009375B4">
              <w:rPr>
                <w:rFonts w:eastAsia="Times New Roman" w:cstheme="minorHAnsi"/>
              </w:rPr>
              <w:br/>
              <w:t>Summe</w:t>
            </w:r>
            <w:r w:rsidR="00CA78D3">
              <w:rPr>
                <w:rFonts w:eastAsia="Times New Roman" w:cstheme="minorHAnsi"/>
              </w:rPr>
              <w:t>r – 8 weeks</w:t>
            </w:r>
            <w:r w:rsidRPr="009375B4">
              <w:rPr>
                <w:rFonts w:eastAsia="Times New Roman" w:cstheme="minorHAnsi"/>
              </w:rPr>
              <w:br/>
              <w:t>CDEV 201 Health, Safety and Nutrition 3</w:t>
            </w:r>
            <w:r w:rsidRPr="009375B4">
              <w:rPr>
                <w:rFonts w:eastAsia="Times New Roman" w:cstheme="minorHAnsi"/>
              </w:rPr>
              <w:br/>
              <w:t>CDEV 137 ** Creativity and Play in Early Childhood 3</w:t>
            </w:r>
            <w:r w:rsidRPr="009375B4">
              <w:rPr>
                <w:rFonts w:eastAsia="Times New Roman" w:cstheme="minorHAnsi"/>
              </w:rPr>
              <w:br/>
              <w:t>Total Semester Hours: 6</w:t>
            </w:r>
          </w:p>
        </w:tc>
      </w:tr>
      <w:tr w:rsidR="00596E19" w:rsidRPr="00596E19" w14:paraId="0B4C677A" w14:textId="77777777" w:rsidTr="00596E19">
        <w:tc>
          <w:tcPr>
            <w:tcW w:w="1260" w:type="dxa"/>
          </w:tcPr>
          <w:p w14:paraId="5589E8A2" w14:textId="37E40365" w:rsidR="003E34B3" w:rsidRPr="00596E19" w:rsidRDefault="003E34B3">
            <w:pPr>
              <w:rPr>
                <w:rFonts w:cstheme="minorHAnsi"/>
              </w:rPr>
            </w:pPr>
            <w:r w:rsidRPr="00596E19">
              <w:rPr>
                <w:rFonts w:cstheme="minorHAnsi"/>
              </w:rPr>
              <w:lastRenderedPageBreak/>
              <w:t>Team-Teaching</w:t>
            </w:r>
          </w:p>
        </w:tc>
        <w:tc>
          <w:tcPr>
            <w:tcW w:w="8090" w:type="dxa"/>
          </w:tcPr>
          <w:p w14:paraId="26AE6459" w14:textId="547F5834" w:rsidR="003E34B3" w:rsidRPr="009375B4" w:rsidRDefault="002407E2">
            <w:pPr>
              <w:rPr>
                <w:rFonts w:cstheme="minorHAnsi"/>
              </w:rPr>
            </w:pPr>
            <w:r w:rsidRPr="009375B4">
              <w:rPr>
                <w:rFonts w:eastAsia="Times New Roman" w:cstheme="minorHAnsi"/>
              </w:rPr>
              <w:t>Stage One - Observing &amp; Planning</w:t>
            </w:r>
            <w:r w:rsidR="00CA78D3">
              <w:rPr>
                <w:rFonts w:eastAsia="Times New Roman" w:cstheme="minorHAnsi"/>
              </w:rPr>
              <w:t xml:space="preserve"> - </w:t>
            </w:r>
            <w:r w:rsidRPr="009375B4">
              <w:rPr>
                <w:rFonts w:eastAsia="Times New Roman" w:cstheme="minorHAnsi"/>
              </w:rPr>
              <w:t xml:space="preserve">The content teacher assumes the responsibility for instructing the entire class while the Adult Education teacher circulates the room and monitors student understanding. The Adult Education teacher can then determine </w:t>
            </w:r>
            <w:proofErr w:type="gramStart"/>
            <w:r w:rsidRPr="009375B4">
              <w:rPr>
                <w:rFonts w:eastAsia="Times New Roman" w:cstheme="minorHAnsi"/>
              </w:rPr>
              <w:t>whether or not</w:t>
            </w:r>
            <w:proofErr w:type="gramEnd"/>
            <w:r w:rsidRPr="009375B4">
              <w:rPr>
                <w:rFonts w:eastAsia="Times New Roman" w:cstheme="minorHAnsi"/>
              </w:rPr>
              <w:t xml:space="preserve"> students understood and can provide immediate feedback</w:t>
            </w:r>
            <w:r w:rsidR="00CA78D3">
              <w:rPr>
                <w:rFonts w:eastAsia="Times New Roman" w:cstheme="minorHAnsi"/>
              </w:rPr>
              <w:t>.</w:t>
            </w:r>
            <w:r w:rsidRPr="009375B4">
              <w:rPr>
                <w:rFonts w:eastAsia="Times New Roman" w:cstheme="minorHAnsi"/>
              </w:rPr>
              <w:br/>
            </w:r>
            <w:r w:rsidRPr="009375B4">
              <w:rPr>
                <w:rFonts w:eastAsia="Times New Roman" w:cstheme="minorHAnsi"/>
              </w:rPr>
              <w:br/>
              <w:t>By second semester, team teachers from basic skills career and early childhood education will provide instruction, with 50 percent overlap of instructional time to support both basic and workforce skills gains, and integrated program learning outcomes.</w:t>
            </w:r>
          </w:p>
        </w:tc>
      </w:tr>
      <w:tr w:rsidR="00596E19" w:rsidRPr="00596E19" w14:paraId="670632CC" w14:textId="77777777" w:rsidTr="00596E19">
        <w:tc>
          <w:tcPr>
            <w:tcW w:w="1260" w:type="dxa"/>
          </w:tcPr>
          <w:p w14:paraId="0D2A6F31" w14:textId="5C4AC0DB" w:rsidR="003E34B3" w:rsidRPr="00596E19" w:rsidRDefault="003E34B3">
            <w:pPr>
              <w:rPr>
                <w:rFonts w:cstheme="minorHAnsi"/>
              </w:rPr>
            </w:pPr>
            <w:r w:rsidRPr="00596E19">
              <w:rPr>
                <w:rFonts w:cstheme="minorHAnsi"/>
              </w:rPr>
              <w:t>Credentials</w:t>
            </w:r>
          </w:p>
        </w:tc>
        <w:tc>
          <w:tcPr>
            <w:tcW w:w="8090" w:type="dxa"/>
          </w:tcPr>
          <w:p w14:paraId="4FF40C9E" w14:textId="77777777" w:rsidR="008F1CF7" w:rsidRPr="009375B4" w:rsidRDefault="009375B4">
            <w:pPr>
              <w:rPr>
                <w:rFonts w:cstheme="minorHAnsi"/>
              </w:rPr>
            </w:pPr>
            <w:r w:rsidRPr="009375B4">
              <w:rPr>
                <w:rFonts w:cstheme="minorHAnsi"/>
              </w:rPr>
              <w:t>High School Equivalency</w:t>
            </w:r>
          </w:p>
          <w:p w14:paraId="7DDCC148" w14:textId="77777777" w:rsidR="009375B4" w:rsidRPr="009375B4" w:rsidRDefault="009375B4">
            <w:pPr>
              <w:rPr>
                <w:rFonts w:cstheme="minorHAnsi"/>
              </w:rPr>
            </w:pPr>
            <w:r w:rsidRPr="009375B4">
              <w:rPr>
                <w:rFonts w:cstheme="minorHAnsi"/>
              </w:rPr>
              <w:t>Employment Opportunities</w:t>
            </w:r>
          </w:p>
          <w:p w14:paraId="2FF8634C" w14:textId="09E15D33" w:rsidR="009375B4" w:rsidRPr="009375B4" w:rsidRDefault="009375B4">
            <w:pPr>
              <w:rPr>
                <w:rFonts w:cstheme="minorHAnsi"/>
              </w:rPr>
            </w:pPr>
            <w:r w:rsidRPr="009375B4">
              <w:rPr>
                <w:rFonts w:cstheme="minorHAnsi"/>
              </w:rPr>
              <w:t>Stackable College Credit/Credentials</w:t>
            </w:r>
          </w:p>
        </w:tc>
      </w:tr>
      <w:tr w:rsidR="00596E19" w:rsidRPr="00596E19" w14:paraId="08803577" w14:textId="77777777" w:rsidTr="00596E19">
        <w:tc>
          <w:tcPr>
            <w:tcW w:w="1260" w:type="dxa"/>
          </w:tcPr>
          <w:p w14:paraId="73D7B44B" w14:textId="4511A8E9" w:rsidR="003E34B3" w:rsidRPr="00596E19" w:rsidRDefault="003E34B3">
            <w:pPr>
              <w:rPr>
                <w:rFonts w:cstheme="minorHAnsi"/>
              </w:rPr>
            </w:pPr>
            <w:r w:rsidRPr="00596E19">
              <w:rPr>
                <w:rFonts w:cstheme="minorHAnsi"/>
              </w:rPr>
              <w:t>Support Services</w:t>
            </w:r>
          </w:p>
        </w:tc>
        <w:tc>
          <w:tcPr>
            <w:tcW w:w="8090" w:type="dxa"/>
          </w:tcPr>
          <w:p w14:paraId="352C8893" w14:textId="03C75678" w:rsidR="008F1CF7" w:rsidRPr="009375B4" w:rsidRDefault="002407E2">
            <w:pPr>
              <w:rPr>
                <w:rFonts w:cstheme="minorHAnsi"/>
              </w:rPr>
            </w:pPr>
            <w:r w:rsidRPr="009375B4">
              <w:rPr>
                <w:rFonts w:eastAsia="Times New Roman" w:cstheme="minorHAnsi"/>
              </w:rPr>
              <w:t xml:space="preserve">The Transition Specialist will be responsible for providing students with connections to valuable resources in the institution and community. Services will include, tutoring, academic and wellness counseling, library, financial aid, disability services, </w:t>
            </w:r>
            <w:proofErr w:type="gramStart"/>
            <w:r w:rsidRPr="009375B4">
              <w:rPr>
                <w:rFonts w:eastAsia="Times New Roman" w:cstheme="minorHAnsi"/>
              </w:rPr>
              <w:t>testing</w:t>
            </w:r>
            <w:proofErr w:type="gramEnd"/>
            <w:r w:rsidRPr="009375B4">
              <w:rPr>
                <w:rFonts w:eastAsia="Times New Roman" w:cstheme="minorHAnsi"/>
              </w:rPr>
              <w:t xml:space="preserve"> and career services. Additionally, students will have access to a certified resume writer and an apprenticeship specialist for increased employment opportunities</w:t>
            </w:r>
          </w:p>
        </w:tc>
      </w:tr>
      <w:tr w:rsidR="00596E19" w:rsidRPr="00596E19" w14:paraId="41BC0455" w14:textId="77777777" w:rsidTr="00596E19">
        <w:tc>
          <w:tcPr>
            <w:tcW w:w="1260" w:type="dxa"/>
          </w:tcPr>
          <w:p w14:paraId="5977583E" w14:textId="0B1F32D1" w:rsidR="005E6A27" w:rsidRPr="00596E19" w:rsidRDefault="005E6A27">
            <w:pPr>
              <w:rPr>
                <w:rFonts w:cstheme="minorHAnsi"/>
              </w:rPr>
            </w:pPr>
            <w:r w:rsidRPr="00596E19">
              <w:rPr>
                <w:rFonts w:cstheme="minorHAnsi"/>
              </w:rPr>
              <w:t>Transition Services</w:t>
            </w:r>
          </w:p>
        </w:tc>
        <w:tc>
          <w:tcPr>
            <w:tcW w:w="8090" w:type="dxa"/>
          </w:tcPr>
          <w:p w14:paraId="52813430" w14:textId="1D65421E" w:rsidR="005E6A27" w:rsidRPr="00CA78D3" w:rsidRDefault="002407E2">
            <w:pPr>
              <w:rPr>
                <w:rFonts w:eastAsia="Times New Roman" w:cstheme="minorHAnsi"/>
              </w:rPr>
            </w:pPr>
            <w:r w:rsidRPr="009375B4">
              <w:rPr>
                <w:rFonts w:eastAsia="Times New Roman" w:cstheme="minorHAnsi"/>
              </w:rPr>
              <w:t>A dedicated full-time Career Navigator, Transition Specialist who has completed Certified Advance Advisor Training will work with the students to assist with enrollment, retention, and transitioning into postsecondary education and employment</w:t>
            </w:r>
            <w:r w:rsidR="00CA78D3">
              <w:rPr>
                <w:rFonts w:eastAsia="Times New Roman" w:cstheme="minorHAnsi"/>
              </w:rPr>
              <w:t>.  S</w:t>
            </w:r>
            <w:r w:rsidRPr="009375B4">
              <w:rPr>
                <w:rFonts w:eastAsia="Times New Roman" w:cstheme="minorHAnsi"/>
              </w:rPr>
              <w:t xml:space="preserve">ervices will include assistance with completing </w:t>
            </w:r>
            <w:r w:rsidR="00CA78D3">
              <w:rPr>
                <w:rFonts w:eastAsia="Times New Roman" w:cstheme="minorHAnsi"/>
              </w:rPr>
              <w:t>a college</w:t>
            </w:r>
            <w:r w:rsidRPr="009375B4">
              <w:rPr>
                <w:rFonts w:eastAsia="Times New Roman" w:cstheme="minorHAnsi"/>
              </w:rPr>
              <w:t xml:space="preserve"> application, academic advising, building a schedule, registering for classes with customized navigation through the college enrollment process. Special attention will be on familiarizing students with the college’s Learning Module System (CANVAS) and technology skills.</w:t>
            </w:r>
          </w:p>
        </w:tc>
      </w:tr>
      <w:tr w:rsidR="00596E19" w:rsidRPr="00596E19" w14:paraId="6BA2BD7D" w14:textId="77777777" w:rsidTr="00596E19">
        <w:tc>
          <w:tcPr>
            <w:tcW w:w="1260" w:type="dxa"/>
          </w:tcPr>
          <w:p w14:paraId="2B8B7A12" w14:textId="0C57056C" w:rsidR="003E34B3" w:rsidRPr="00596E19" w:rsidRDefault="003E34B3">
            <w:pPr>
              <w:rPr>
                <w:rFonts w:cstheme="minorHAnsi"/>
              </w:rPr>
            </w:pPr>
            <w:r w:rsidRPr="00596E19">
              <w:rPr>
                <w:rFonts w:cstheme="minorHAnsi"/>
              </w:rPr>
              <w:t>Technology Skills</w:t>
            </w:r>
          </w:p>
        </w:tc>
        <w:tc>
          <w:tcPr>
            <w:tcW w:w="8090" w:type="dxa"/>
          </w:tcPr>
          <w:p w14:paraId="20D6CDD2" w14:textId="210C567A" w:rsidR="003E34B3" w:rsidRPr="009375B4" w:rsidRDefault="002407E2">
            <w:pPr>
              <w:rPr>
                <w:rFonts w:cstheme="minorHAnsi"/>
              </w:rPr>
            </w:pPr>
            <w:r w:rsidRPr="009375B4">
              <w:rPr>
                <w:rFonts w:eastAsia="Times New Roman" w:cstheme="minorHAnsi"/>
              </w:rPr>
              <w:t>100% of learning will be conducted online. Loaner laptops and hot spots are provided to all who need it. Books will be both in print and electronic formats</w:t>
            </w:r>
            <w:r w:rsidR="00CA78D3">
              <w:rPr>
                <w:rFonts w:eastAsia="Times New Roman" w:cstheme="minorHAnsi"/>
              </w:rPr>
              <w:t>.</w:t>
            </w:r>
            <w:r w:rsidRPr="009375B4">
              <w:rPr>
                <w:rFonts w:eastAsia="Times New Roman" w:cstheme="minorHAnsi"/>
              </w:rPr>
              <w:t xml:space="preserve"> This will increase the student’s use of and comfort with technology. The Bridge class leading into the </w:t>
            </w:r>
            <w:proofErr w:type="gramStart"/>
            <w:r w:rsidRPr="009375B4">
              <w:rPr>
                <w:rFonts w:eastAsia="Times New Roman" w:cstheme="minorHAnsi"/>
              </w:rPr>
              <w:t>ICAPS</w:t>
            </w:r>
            <w:proofErr w:type="gramEnd"/>
            <w:r w:rsidRPr="009375B4">
              <w:rPr>
                <w:rFonts w:eastAsia="Times New Roman" w:cstheme="minorHAnsi"/>
              </w:rPr>
              <w:t xml:space="preserve"> and the Support class will reinforce the use of Microsoft products like Word, Excel, and Power Point. Students will begiven instruction on setting up their </w:t>
            </w:r>
            <w:r w:rsidR="00CA78D3">
              <w:rPr>
                <w:rFonts w:eastAsia="Times New Roman" w:cstheme="minorHAnsi"/>
              </w:rPr>
              <w:t>college</w:t>
            </w:r>
            <w:r w:rsidRPr="009375B4">
              <w:rPr>
                <w:rFonts w:eastAsia="Times New Roman" w:cstheme="minorHAnsi"/>
              </w:rPr>
              <w:t xml:space="preserve"> email, </w:t>
            </w:r>
            <w:proofErr w:type="gramStart"/>
            <w:r w:rsidRPr="009375B4">
              <w:rPr>
                <w:rFonts w:eastAsia="Times New Roman" w:cstheme="minorHAnsi"/>
              </w:rPr>
              <w:t>ID</w:t>
            </w:r>
            <w:proofErr w:type="gramEnd"/>
            <w:r w:rsidRPr="009375B4">
              <w:rPr>
                <w:rFonts w:eastAsia="Times New Roman" w:cstheme="minorHAnsi"/>
              </w:rPr>
              <w:t xml:space="preserve"> and Usernames.</w:t>
            </w:r>
          </w:p>
        </w:tc>
      </w:tr>
    </w:tbl>
    <w:p w14:paraId="5EE93410" w14:textId="77777777" w:rsidR="003E34B3" w:rsidRPr="00596E19" w:rsidRDefault="003E34B3">
      <w:pPr>
        <w:rPr>
          <w:rFonts w:cstheme="minorHAnsi"/>
        </w:rPr>
      </w:pPr>
    </w:p>
    <w:sectPr w:rsidR="003E34B3" w:rsidRPr="00596E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4B3"/>
    <w:rsid w:val="002407E2"/>
    <w:rsid w:val="003E34B3"/>
    <w:rsid w:val="005123DE"/>
    <w:rsid w:val="00596E19"/>
    <w:rsid w:val="005C7539"/>
    <w:rsid w:val="005E6A27"/>
    <w:rsid w:val="00877078"/>
    <w:rsid w:val="008F1CF7"/>
    <w:rsid w:val="00934132"/>
    <w:rsid w:val="009375B4"/>
    <w:rsid w:val="00CA7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B1414"/>
  <w15:chartTrackingRefBased/>
  <w15:docId w15:val="{061AD746-9C67-45FB-9F4B-E74BFD988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E34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2407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427043">
      <w:bodyDiv w:val="1"/>
      <w:marLeft w:val="0"/>
      <w:marRight w:val="0"/>
      <w:marTop w:val="0"/>
      <w:marBottom w:val="0"/>
      <w:divBdr>
        <w:top w:val="none" w:sz="0" w:space="0" w:color="auto"/>
        <w:left w:val="none" w:sz="0" w:space="0" w:color="auto"/>
        <w:bottom w:val="none" w:sz="0" w:space="0" w:color="auto"/>
        <w:right w:val="none" w:sz="0" w:space="0" w:color="auto"/>
      </w:divBdr>
    </w:div>
    <w:div w:id="815345016">
      <w:bodyDiv w:val="1"/>
      <w:marLeft w:val="0"/>
      <w:marRight w:val="0"/>
      <w:marTop w:val="0"/>
      <w:marBottom w:val="0"/>
      <w:divBdr>
        <w:top w:val="none" w:sz="0" w:space="0" w:color="auto"/>
        <w:left w:val="none" w:sz="0" w:space="0" w:color="auto"/>
        <w:bottom w:val="none" w:sz="0" w:space="0" w:color="auto"/>
        <w:right w:val="none" w:sz="0" w:space="0" w:color="auto"/>
      </w:divBdr>
    </w:div>
    <w:div w:id="1065182060">
      <w:bodyDiv w:val="1"/>
      <w:marLeft w:val="0"/>
      <w:marRight w:val="0"/>
      <w:marTop w:val="0"/>
      <w:marBottom w:val="0"/>
      <w:divBdr>
        <w:top w:val="none" w:sz="0" w:space="0" w:color="auto"/>
        <w:left w:val="none" w:sz="0" w:space="0" w:color="auto"/>
        <w:bottom w:val="none" w:sz="0" w:space="0" w:color="auto"/>
        <w:right w:val="none" w:sz="0" w:space="0" w:color="auto"/>
      </w:divBdr>
    </w:div>
    <w:div w:id="1197044070">
      <w:bodyDiv w:val="1"/>
      <w:marLeft w:val="0"/>
      <w:marRight w:val="0"/>
      <w:marTop w:val="0"/>
      <w:marBottom w:val="0"/>
      <w:divBdr>
        <w:top w:val="none" w:sz="0" w:space="0" w:color="auto"/>
        <w:left w:val="none" w:sz="0" w:space="0" w:color="auto"/>
        <w:bottom w:val="none" w:sz="0" w:space="0" w:color="auto"/>
        <w:right w:val="none" w:sz="0" w:space="0" w:color="auto"/>
      </w:divBdr>
    </w:div>
    <w:div w:id="1333264866">
      <w:bodyDiv w:val="1"/>
      <w:marLeft w:val="0"/>
      <w:marRight w:val="0"/>
      <w:marTop w:val="0"/>
      <w:marBottom w:val="0"/>
      <w:divBdr>
        <w:top w:val="none" w:sz="0" w:space="0" w:color="auto"/>
        <w:left w:val="none" w:sz="0" w:space="0" w:color="auto"/>
        <w:bottom w:val="none" w:sz="0" w:space="0" w:color="auto"/>
        <w:right w:val="none" w:sz="0" w:space="0" w:color="auto"/>
      </w:divBdr>
    </w:div>
    <w:div w:id="1432974763">
      <w:bodyDiv w:val="1"/>
      <w:marLeft w:val="0"/>
      <w:marRight w:val="0"/>
      <w:marTop w:val="0"/>
      <w:marBottom w:val="0"/>
      <w:divBdr>
        <w:top w:val="none" w:sz="0" w:space="0" w:color="auto"/>
        <w:left w:val="none" w:sz="0" w:space="0" w:color="auto"/>
        <w:bottom w:val="none" w:sz="0" w:space="0" w:color="auto"/>
        <w:right w:val="none" w:sz="0" w:space="0" w:color="auto"/>
      </w:divBdr>
    </w:div>
    <w:div w:id="1712265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758</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Gerberding, Angela</dc:creator>
  <cp:keywords/>
  <dc:description/>
  <cp:lastModifiedBy>Schwab, Tara</cp:lastModifiedBy>
  <cp:revision>2</cp:revision>
  <dcterms:created xsi:type="dcterms:W3CDTF">2022-04-19T18:27:00Z</dcterms:created>
  <dcterms:modified xsi:type="dcterms:W3CDTF">2022-04-19T18:27:00Z</dcterms:modified>
</cp:coreProperties>
</file>