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8CF50" w14:textId="319F3277" w:rsidR="005123DE" w:rsidRPr="00257457" w:rsidRDefault="003E34B3">
      <w:pPr>
        <w:rPr>
          <w:rFonts w:cstheme="minorHAnsi"/>
        </w:rPr>
      </w:pPr>
      <w:r w:rsidRPr="00257457">
        <w:rPr>
          <w:rFonts w:cstheme="minorHAnsi"/>
        </w:rPr>
        <w:t xml:space="preserve">ICAPS – Model </w:t>
      </w:r>
      <w:r w:rsidR="00257457" w:rsidRPr="00257457">
        <w:rPr>
          <w:rFonts w:cstheme="minorHAnsi"/>
        </w:rPr>
        <w:t>2</w:t>
      </w:r>
      <w:r w:rsidRPr="00257457">
        <w:rPr>
          <w:rFonts w:cstheme="minorHAnsi"/>
        </w:rPr>
        <w:t xml:space="preserve"> – Sample – </w:t>
      </w:r>
      <w:r w:rsidR="00257457" w:rsidRPr="00257457">
        <w:rPr>
          <w:rFonts w:eastAsia="Times New Roman" w:cstheme="minorHAnsi"/>
        </w:rPr>
        <w:t>Pharmacy Technician</w:t>
      </w:r>
    </w:p>
    <w:tbl>
      <w:tblPr>
        <w:tblStyle w:val="TableGrid"/>
        <w:tblW w:w="0" w:type="auto"/>
        <w:tblLook w:val="04A0" w:firstRow="1" w:lastRow="0" w:firstColumn="1" w:lastColumn="0" w:noHBand="0" w:noVBand="1"/>
      </w:tblPr>
      <w:tblGrid>
        <w:gridCol w:w="1271"/>
        <w:gridCol w:w="8079"/>
      </w:tblGrid>
      <w:tr w:rsidR="00257457" w:rsidRPr="00257457" w14:paraId="285A76DE" w14:textId="77777777" w:rsidTr="00596E19">
        <w:tc>
          <w:tcPr>
            <w:tcW w:w="1260" w:type="dxa"/>
          </w:tcPr>
          <w:p w14:paraId="3A662662" w14:textId="0BF97350" w:rsidR="003E34B3" w:rsidRPr="00257457" w:rsidRDefault="003E34B3">
            <w:pPr>
              <w:rPr>
                <w:rFonts w:cstheme="minorHAnsi"/>
              </w:rPr>
            </w:pPr>
            <w:r w:rsidRPr="00257457">
              <w:rPr>
                <w:rFonts w:cstheme="minorHAnsi"/>
              </w:rPr>
              <w:t>Component</w:t>
            </w:r>
          </w:p>
        </w:tc>
        <w:tc>
          <w:tcPr>
            <w:tcW w:w="8090" w:type="dxa"/>
          </w:tcPr>
          <w:p w14:paraId="7BDB550B" w14:textId="61A8D3F8" w:rsidR="003E34B3" w:rsidRPr="00257457" w:rsidRDefault="003E34B3">
            <w:pPr>
              <w:rPr>
                <w:rFonts w:cstheme="minorHAnsi"/>
              </w:rPr>
            </w:pPr>
            <w:r w:rsidRPr="00257457">
              <w:rPr>
                <w:rFonts w:cstheme="minorHAnsi"/>
              </w:rPr>
              <w:t>Description</w:t>
            </w:r>
          </w:p>
        </w:tc>
      </w:tr>
      <w:tr w:rsidR="00257457" w:rsidRPr="00257457" w14:paraId="4BE4D549" w14:textId="77777777" w:rsidTr="00596E19">
        <w:tc>
          <w:tcPr>
            <w:tcW w:w="1260" w:type="dxa"/>
          </w:tcPr>
          <w:p w14:paraId="17E8159B" w14:textId="77777777" w:rsidR="003E34B3" w:rsidRPr="00257457" w:rsidRDefault="003E34B3">
            <w:pPr>
              <w:rPr>
                <w:rFonts w:cstheme="minorHAnsi"/>
              </w:rPr>
            </w:pPr>
            <w:r w:rsidRPr="00257457">
              <w:rPr>
                <w:rFonts w:cstheme="minorHAnsi"/>
              </w:rPr>
              <w:t>Adult Education</w:t>
            </w:r>
          </w:p>
          <w:p w14:paraId="1541D9A2" w14:textId="77777777" w:rsidR="008F1CF7" w:rsidRPr="00257457" w:rsidRDefault="008F1CF7" w:rsidP="008F1CF7">
            <w:pPr>
              <w:rPr>
                <w:rFonts w:cstheme="minorHAnsi"/>
              </w:rPr>
            </w:pPr>
          </w:p>
          <w:p w14:paraId="2A58B202" w14:textId="77777777" w:rsidR="008F1CF7" w:rsidRPr="00257457" w:rsidRDefault="008F1CF7" w:rsidP="008F1CF7">
            <w:pPr>
              <w:rPr>
                <w:rFonts w:cstheme="minorHAnsi"/>
              </w:rPr>
            </w:pPr>
          </w:p>
          <w:p w14:paraId="67EF26A3" w14:textId="77777777" w:rsidR="008F1CF7" w:rsidRPr="00257457" w:rsidRDefault="008F1CF7" w:rsidP="008F1CF7">
            <w:pPr>
              <w:rPr>
                <w:rFonts w:cstheme="minorHAnsi"/>
              </w:rPr>
            </w:pPr>
          </w:p>
          <w:p w14:paraId="04A02422" w14:textId="77777777" w:rsidR="008F1CF7" w:rsidRPr="00257457" w:rsidRDefault="008F1CF7" w:rsidP="008F1CF7">
            <w:pPr>
              <w:rPr>
                <w:rFonts w:cstheme="minorHAnsi"/>
              </w:rPr>
            </w:pPr>
          </w:p>
          <w:p w14:paraId="4B1310D6" w14:textId="77777777" w:rsidR="008F1CF7" w:rsidRPr="00257457" w:rsidRDefault="008F1CF7" w:rsidP="008F1CF7">
            <w:pPr>
              <w:rPr>
                <w:rFonts w:cstheme="minorHAnsi"/>
              </w:rPr>
            </w:pPr>
          </w:p>
          <w:p w14:paraId="318EDD78" w14:textId="250828F6" w:rsidR="008F1CF7" w:rsidRPr="00257457" w:rsidRDefault="008F1CF7" w:rsidP="008F1CF7">
            <w:pPr>
              <w:jc w:val="center"/>
              <w:rPr>
                <w:rFonts w:cstheme="minorHAnsi"/>
              </w:rPr>
            </w:pPr>
          </w:p>
        </w:tc>
        <w:tc>
          <w:tcPr>
            <w:tcW w:w="8090" w:type="dxa"/>
          </w:tcPr>
          <w:p w14:paraId="355974D2" w14:textId="77777777" w:rsidR="00257457" w:rsidRDefault="00257457" w:rsidP="008F1CF7">
            <w:pPr>
              <w:rPr>
                <w:rFonts w:eastAsia="Times New Roman" w:cstheme="minorHAnsi"/>
              </w:rPr>
            </w:pPr>
            <w:r w:rsidRPr="00257457">
              <w:rPr>
                <w:rFonts w:eastAsia="Times New Roman" w:cstheme="minorHAnsi"/>
              </w:rPr>
              <w:t xml:space="preserve">The curriculum developed for IETs provides instruction in reading, writing, math, </w:t>
            </w:r>
            <w:proofErr w:type="gramStart"/>
            <w:r w:rsidRPr="00257457">
              <w:rPr>
                <w:rFonts w:eastAsia="Times New Roman" w:cstheme="minorHAnsi"/>
              </w:rPr>
              <w:t>language</w:t>
            </w:r>
            <w:proofErr w:type="gramEnd"/>
            <w:r w:rsidRPr="00257457">
              <w:rPr>
                <w:rFonts w:eastAsia="Times New Roman" w:cstheme="minorHAnsi"/>
              </w:rPr>
              <w:t xml:space="preserve"> and digital literacy skills within the context of healthcare.  Additionally, students continue to work to complete their high school equivalency and are co-enrolled in Continuing Education’s Pharmacy Technician course. Co-collaboration between the CTE instructor and IET support instructor provides opportunities for the IET support instructor to focus on integrating course materials in the support class that review course content while integrating and embedding high school equivalency exam preparation such as reading comprehension of textbook chapters, math calculations relevant to the job industry, and the use of vocabulary within context of the health career.</w:t>
            </w:r>
          </w:p>
          <w:p w14:paraId="50D30E9F" w14:textId="476CD5F8" w:rsidR="003E34B3" w:rsidRPr="00257457" w:rsidRDefault="00257457" w:rsidP="008F1CF7">
            <w:pPr>
              <w:rPr>
                <w:rFonts w:cstheme="minorHAnsi"/>
              </w:rPr>
            </w:pPr>
            <w:r w:rsidRPr="00257457">
              <w:rPr>
                <w:rFonts w:eastAsia="Times New Roman" w:cstheme="minorHAnsi"/>
              </w:rPr>
              <w:br/>
              <w:t>The 3-credit Pharmacy Technician IET support course meets for 3 hours/class, one class/week, 15 weeks/semester for a total of 45 instructional hours in one semester.</w:t>
            </w:r>
          </w:p>
        </w:tc>
      </w:tr>
      <w:tr w:rsidR="00257457" w:rsidRPr="00257457" w14:paraId="04BD4D77" w14:textId="77777777" w:rsidTr="00596E19">
        <w:tc>
          <w:tcPr>
            <w:tcW w:w="1260" w:type="dxa"/>
          </w:tcPr>
          <w:p w14:paraId="24D71E19" w14:textId="007AF448" w:rsidR="003E34B3" w:rsidRPr="00257457" w:rsidRDefault="003E34B3">
            <w:pPr>
              <w:rPr>
                <w:rFonts w:cstheme="minorHAnsi"/>
              </w:rPr>
            </w:pPr>
            <w:r w:rsidRPr="00257457">
              <w:rPr>
                <w:rFonts w:cstheme="minorHAnsi"/>
              </w:rPr>
              <w:t>Workplace Skills</w:t>
            </w:r>
          </w:p>
        </w:tc>
        <w:tc>
          <w:tcPr>
            <w:tcW w:w="8090" w:type="dxa"/>
          </w:tcPr>
          <w:p w14:paraId="6BAA70FB" w14:textId="15A5AEDF" w:rsidR="008F1CF7" w:rsidRPr="00257457" w:rsidRDefault="00257457">
            <w:pPr>
              <w:rPr>
                <w:rFonts w:eastAsia="Times New Roman" w:cstheme="minorHAnsi"/>
              </w:rPr>
            </w:pPr>
            <w:r w:rsidRPr="00257457">
              <w:rPr>
                <w:rFonts w:eastAsia="Times New Roman" w:cstheme="minorHAnsi"/>
              </w:rPr>
              <w:t>Since workers need both foundational skills and employability skills in the workplace, IET support courses emphasize both. Courses are designed and delivered with a focus on practical tasks and the specific skills that students need for the workforce. In the IET support course, workforce skills are included in each session through lessons and activities that embed skills such as mathematical principles that apply pharmacology and reviewing diseases, practicing pharmacy law and ethics in a module practice, and through role play and mock Pharmacy setting practices.</w:t>
            </w:r>
            <w:r w:rsidRPr="00257457">
              <w:rPr>
                <w:rFonts w:eastAsia="Times New Roman" w:cstheme="minorHAnsi"/>
              </w:rPr>
              <w:br/>
            </w:r>
            <w:r w:rsidRPr="00257457">
              <w:rPr>
                <w:rFonts w:eastAsia="Times New Roman" w:cstheme="minorHAnsi"/>
              </w:rPr>
              <w:br/>
              <w:t>College and career readiness is embedded into instruction using US Bureau of Labor Statistics: Occupational Outlook Handbook and current job postings.  </w:t>
            </w:r>
          </w:p>
        </w:tc>
      </w:tr>
      <w:tr w:rsidR="00257457" w:rsidRPr="00257457" w14:paraId="423A66E3" w14:textId="77777777" w:rsidTr="00596E19">
        <w:tc>
          <w:tcPr>
            <w:tcW w:w="1260" w:type="dxa"/>
          </w:tcPr>
          <w:p w14:paraId="6D518081" w14:textId="75C2C67C" w:rsidR="003E34B3" w:rsidRPr="00257457" w:rsidRDefault="003E34B3">
            <w:pPr>
              <w:rPr>
                <w:rFonts w:cstheme="minorHAnsi"/>
              </w:rPr>
            </w:pPr>
            <w:r w:rsidRPr="00257457">
              <w:rPr>
                <w:rFonts w:cstheme="minorHAnsi"/>
              </w:rPr>
              <w:t>Workforce Training</w:t>
            </w:r>
          </w:p>
        </w:tc>
        <w:tc>
          <w:tcPr>
            <w:tcW w:w="8090" w:type="dxa"/>
          </w:tcPr>
          <w:p w14:paraId="54EA3454" w14:textId="77777777" w:rsidR="00F5207D" w:rsidRDefault="00257457">
            <w:pPr>
              <w:rPr>
                <w:rFonts w:eastAsia="Times New Roman" w:cstheme="minorHAnsi"/>
              </w:rPr>
            </w:pPr>
            <w:r w:rsidRPr="00257457">
              <w:rPr>
                <w:rFonts w:eastAsia="Times New Roman" w:cstheme="minorHAnsi"/>
              </w:rPr>
              <w:t>AHL-E24 Pharmacy Technician Course</w:t>
            </w:r>
            <w:r w:rsidRPr="00257457">
              <w:rPr>
                <w:rFonts w:eastAsia="Times New Roman" w:cstheme="minorHAnsi"/>
              </w:rPr>
              <w:br/>
              <w:t xml:space="preserve">This one semester, 75-hour course introduces students to various settings in pharmacy practice, including the community, hospital, managed care, mail order and long-term care. Information on qualifying for the pharmacy certification examination will be provided. This course is designed to familiarize students with the role of the pharmacy technician and develop the skills required for assisting pharmacists. Instruction includes a review of mathematical principles as they apply to pharmacology, various disease states, basic physiology, pharmacy law, ethics, and the fundamentals of technician training. Emphasis will be given to pharmacology measurement, pharmacy abbreviations and generic medications, prescription processing and hands-on compounding techniques. </w:t>
            </w:r>
          </w:p>
          <w:p w14:paraId="6ABBD07E" w14:textId="255F526F" w:rsidR="003E34B3" w:rsidRPr="00257457" w:rsidRDefault="00257457">
            <w:pPr>
              <w:rPr>
                <w:rFonts w:cstheme="minorHAnsi"/>
              </w:rPr>
            </w:pPr>
            <w:r w:rsidRPr="00257457">
              <w:rPr>
                <w:rFonts w:eastAsia="Times New Roman" w:cstheme="minorHAnsi"/>
              </w:rPr>
              <w:br/>
              <w:t xml:space="preserve">The Pharmacy Technician Course with Continuing Education provides partnerships with Walgreens and has instructors who work as Pharmacists in the field. </w:t>
            </w:r>
          </w:p>
        </w:tc>
      </w:tr>
      <w:tr w:rsidR="00257457" w:rsidRPr="00257457" w14:paraId="0B4C677A" w14:textId="77777777" w:rsidTr="00596E19">
        <w:tc>
          <w:tcPr>
            <w:tcW w:w="1260" w:type="dxa"/>
          </w:tcPr>
          <w:p w14:paraId="5589E8A2" w14:textId="37E40365" w:rsidR="003E34B3" w:rsidRPr="00257457" w:rsidRDefault="003E34B3">
            <w:pPr>
              <w:rPr>
                <w:rFonts w:cstheme="minorHAnsi"/>
              </w:rPr>
            </w:pPr>
            <w:r w:rsidRPr="00257457">
              <w:rPr>
                <w:rFonts w:cstheme="minorHAnsi"/>
              </w:rPr>
              <w:t>Team-Teaching</w:t>
            </w:r>
          </w:p>
        </w:tc>
        <w:tc>
          <w:tcPr>
            <w:tcW w:w="8090" w:type="dxa"/>
          </w:tcPr>
          <w:p w14:paraId="1D7233E0" w14:textId="77777777" w:rsidR="00F5207D" w:rsidRDefault="00257457">
            <w:pPr>
              <w:rPr>
                <w:rFonts w:eastAsia="Times New Roman" w:cstheme="minorHAnsi"/>
              </w:rPr>
            </w:pPr>
            <w:r w:rsidRPr="00257457">
              <w:rPr>
                <w:rFonts w:eastAsia="Times New Roman" w:cstheme="minorHAnsi"/>
              </w:rPr>
              <w:t>In our co-teaching model, the CTE content is sheltered by the IET support instructor while the related technical skills are taught by the CTE instructor. The IET support instructor attends the CTE course at least one time per week (for a CTE course that meets twice/week) and assists with explaining concepts; observes so that they can tailor their instruction and support what is being taught in the CTE course; and addresses student misunderstandings. In online courses, the IET support course instructor uses breakout rooms and the chat function to provide additional support to individual students or small groups.  </w:t>
            </w:r>
            <w:r w:rsidRPr="00257457">
              <w:rPr>
                <w:rFonts w:eastAsia="Times New Roman" w:cstheme="minorHAnsi"/>
              </w:rPr>
              <w:br/>
            </w:r>
            <w:r w:rsidRPr="00257457">
              <w:rPr>
                <w:rFonts w:eastAsia="Times New Roman" w:cstheme="minorHAnsi"/>
              </w:rPr>
              <w:lastRenderedPageBreak/>
              <w:t>The success of an IET is heavily dependent on the IET support instructor-to-CTE instructor relationship. To develop that relationship, planning meetings are held before, during, and after each semester to clarify the team-teaching model and the roles of each instructor. Hiring a qualified ASE/ESL IET support instructor with basic CTE content knowledge or interest has a direct correlation to the success of the IET.</w:t>
            </w:r>
          </w:p>
          <w:p w14:paraId="26AE6459" w14:textId="37E669B6" w:rsidR="003E34B3" w:rsidRPr="00257457" w:rsidRDefault="00257457">
            <w:pPr>
              <w:rPr>
                <w:rFonts w:cstheme="minorHAnsi"/>
              </w:rPr>
            </w:pPr>
            <w:r w:rsidRPr="00257457">
              <w:rPr>
                <w:rFonts w:eastAsia="Times New Roman" w:cstheme="minorHAnsi"/>
              </w:rPr>
              <w:br/>
              <w:t>In the Pharmacy Technician course, the CTE instructor asks the IET instructor to assist in providing instruction in mathematical problem-solving or has the IET instructor provide differentiated instruction to small breakout groups if needed.</w:t>
            </w:r>
          </w:p>
        </w:tc>
      </w:tr>
      <w:tr w:rsidR="00257457" w:rsidRPr="00257457" w14:paraId="670632CC" w14:textId="77777777" w:rsidTr="00596E19">
        <w:tc>
          <w:tcPr>
            <w:tcW w:w="1260" w:type="dxa"/>
          </w:tcPr>
          <w:p w14:paraId="0D2A6F31" w14:textId="5C4AC0DB" w:rsidR="003E34B3" w:rsidRPr="00257457" w:rsidRDefault="003E34B3">
            <w:pPr>
              <w:rPr>
                <w:rFonts w:cstheme="minorHAnsi"/>
              </w:rPr>
            </w:pPr>
            <w:r w:rsidRPr="00257457">
              <w:rPr>
                <w:rFonts w:cstheme="minorHAnsi"/>
              </w:rPr>
              <w:lastRenderedPageBreak/>
              <w:t>Credentials</w:t>
            </w:r>
          </w:p>
        </w:tc>
        <w:tc>
          <w:tcPr>
            <w:tcW w:w="8090" w:type="dxa"/>
          </w:tcPr>
          <w:p w14:paraId="6D8642B5" w14:textId="77777777" w:rsidR="008F1CF7" w:rsidRDefault="00257457">
            <w:pPr>
              <w:rPr>
                <w:rFonts w:cstheme="minorHAnsi"/>
              </w:rPr>
            </w:pPr>
            <w:r>
              <w:rPr>
                <w:rFonts w:cstheme="minorHAnsi"/>
              </w:rPr>
              <w:t>High School Equivalency</w:t>
            </w:r>
          </w:p>
          <w:p w14:paraId="2FF8634C" w14:textId="381CE43D" w:rsidR="00257457" w:rsidRPr="00257457" w:rsidRDefault="00257457">
            <w:pPr>
              <w:rPr>
                <w:rFonts w:cstheme="minorHAnsi"/>
              </w:rPr>
            </w:pPr>
            <w:r>
              <w:rPr>
                <w:rFonts w:cstheme="minorHAnsi"/>
              </w:rPr>
              <w:t>Pharmacy Technician Certificate</w:t>
            </w:r>
          </w:p>
        </w:tc>
      </w:tr>
      <w:tr w:rsidR="00257457" w:rsidRPr="00257457" w14:paraId="08803577" w14:textId="77777777" w:rsidTr="00596E19">
        <w:tc>
          <w:tcPr>
            <w:tcW w:w="1260" w:type="dxa"/>
          </w:tcPr>
          <w:p w14:paraId="73D7B44B" w14:textId="4511A8E9" w:rsidR="003E34B3" w:rsidRPr="00257457" w:rsidRDefault="003E34B3">
            <w:pPr>
              <w:rPr>
                <w:rFonts w:cstheme="minorHAnsi"/>
              </w:rPr>
            </w:pPr>
            <w:r w:rsidRPr="00257457">
              <w:rPr>
                <w:rFonts w:cstheme="minorHAnsi"/>
              </w:rPr>
              <w:t>Support Services</w:t>
            </w:r>
          </w:p>
        </w:tc>
        <w:tc>
          <w:tcPr>
            <w:tcW w:w="8090" w:type="dxa"/>
          </w:tcPr>
          <w:p w14:paraId="352C8893" w14:textId="068B4376" w:rsidR="008F1CF7" w:rsidRPr="00257457" w:rsidRDefault="00257457">
            <w:pPr>
              <w:rPr>
                <w:rFonts w:cstheme="minorHAnsi"/>
              </w:rPr>
            </w:pPr>
            <w:r w:rsidRPr="00257457">
              <w:rPr>
                <w:rFonts w:eastAsia="Times New Roman" w:cstheme="minorHAnsi"/>
              </w:rPr>
              <w:t>Students are required to attend student orientation where support services and college resources are shared. Completion and Transition Specialists (CTS) conduct the orientation and provide extensive information on campus resources.  In addition, the CTS offer guidance and resources that include:</w:t>
            </w:r>
            <w:r w:rsidRPr="00257457">
              <w:rPr>
                <w:rFonts w:eastAsia="Times New Roman" w:cstheme="minorHAnsi"/>
              </w:rPr>
              <w:br/>
              <w:t>- Laptop and hotspot loans from the Library</w:t>
            </w:r>
            <w:r w:rsidRPr="00257457">
              <w:rPr>
                <w:rFonts w:eastAsia="Times New Roman" w:cstheme="minorHAnsi"/>
              </w:rPr>
              <w:br/>
              <w:t>- Pharmacy Technician textbook loan for the IET</w:t>
            </w:r>
            <w:r w:rsidRPr="00257457">
              <w:rPr>
                <w:rFonts w:eastAsia="Times New Roman" w:cstheme="minorHAnsi"/>
              </w:rPr>
              <w:br/>
              <w:t>- Career Services connections for work on resume and interviewing skills</w:t>
            </w:r>
            <w:r w:rsidRPr="00257457">
              <w:rPr>
                <w:rFonts w:eastAsia="Times New Roman" w:cstheme="minorHAnsi"/>
              </w:rPr>
              <w:br/>
              <w:t>- Availability of scholarships</w:t>
            </w:r>
            <w:r w:rsidRPr="00257457">
              <w:rPr>
                <w:rFonts w:eastAsia="Times New Roman" w:cstheme="minorHAnsi"/>
              </w:rPr>
              <w:br/>
              <w:t>- Tutoring services</w:t>
            </w:r>
            <w:r w:rsidRPr="00257457">
              <w:rPr>
                <w:rFonts w:eastAsia="Times New Roman" w:cstheme="minorHAnsi"/>
              </w:rPr>
              <w:br/>
            </w:r>
            <w:r w:rsidRPr="00257457">
              <w:rPr>
                <w:rFonts w:eastAsia="Times New Roman" w:cstheme="minorHAnsi"/>
              </w:rPr>
              <w:br/>
              <w:t xml:space="preserve">The Director of Transitions and Special Programs also offers specific services during the duration of their IET enrollment that includes career service workshops, updated information on their progress in the course (from their Pharmacy Technician CTE instructor), assistance in registering for next semester courses, scholarships available and guiding students in next steps (i.e. enrolling in a course, who to contact to activate </w:t>
            </w:r>
            <w:r w:rsidR="003C233B">
              <w:rPr>
                <w:rFonts w:eastAsia="Times New Roman" w:cstheme="minorHAnsi"/>
              </w:rPr>
              <w:t>school</w:t>
            </w:r>
            <w:r w:rsidRPr="00257457">
              <w:rPr>
                <w:rFonts w:eastAsia="Times New Roman" w:cstheme="minorHAnsi"/>
              </w:rPr>
              <w:t xml:space="preserve"> email address, etc.)</w:t>
            </w:r>
            <w:r w:rsidRPr="00257457">
              <w:rPr>
                <w:rFonts w:eastAsia="Times New Roman" w:cstheme="minorHAnsi"/>
              </w:rPr>
              <w:br/>
            </w:r>
            <w:r w:rsidRPr="00257457">
              <w:rPr>
                <w:rFonts w:eastAsia="Times New Roman" w:cstheme="minorHAnsi"/>
              </w:rPr>
              <w:br/>
              <w:t>In addition, the IET support instructor incorporates resources and services within their lessons, such as practicing in the lab, visiting the Library, and assisting students in setting goals and working towards their chosen career pathway.</w:t>
            </w:r>
          </w:p>
        </w:tc>
      </w:tr>
      <w:tr w:rsidR="00257457" w:rsidRPr="00257457" w14:paraId="41BC0455" w14:textId="77777777" w:rsidTr="00596E19">
        <w:tc>
          <w:tcPr>
            <w:tcW w:w="1260" w:type="dxa"/>
          </w:tcPr>
          <w:p w14:paraId="5977583E" w14:textId="0B1F32D1" w:rsidR="005E6A27" w:rsidRPr="00257457" w:rsidRDefault="005E6A27">
            <w:pPr>
              <w:rPr>
                <w:rFonts w:cstheme="minorHAnsi"/>
              </w:rPr>
            </w:pPr>
            <w:r w:rsidRPr="00257457">
              <w:rPr>
                <w:rFonts w:cstheme="minorHAnsi"/>
              </w:rPr>
              <w:t>Transition Services</w:t>
            </w:r>
          </w:p>
        </w:tc>
        <w:tc>
          <w:tcPr>
            <w:tcW w:w="8090" w:type="dxa"/>
          </w:tcPr>
          <w:p w14:paraId="6816BB4B" w14:textId="77777777" w:rsidR="003C233B" w:rsidRDefault="00257457">
            <w:pPr>
              <w:rPr>
                <w:rFonts w:eastAsia="Times New Roman" w:cstheme="minorHAnsi"/>
              </w:rPr>
            </w:pPr>
            <w:r w:rsidRPr="00257457">
              <w:rPr>
                <w:rFonts w:eastAsia="Times New Roman" w:cstheme="minorHAnsi"/>
              </w:rPr>
              <w:t xml:space="preserve">Transition services offered to Gear Up students include exploration of career pathways, goal setting, dedicated advising support, access to AE scholarships (Westlake Health Careers Scholarship), assistance navigating Ability to Benefit and financial aid process, job search/application/interview guidance, registering for the Pharmacy Technician Certification Board (PTCB) exam and providing prep classes for the PTCB exam. </w:t>
            </w:r>
            <w:r w:rsidRPr="00257457">
              <w:rPr>
                <w:rFonts w:eastAsia="Times New Roman" w:cstheme="minorHAnsi"/>
              </w:rPr>
              <w:br/>
            </w:r>
          </w:p>
          <w:p w14:paraId="120D5306" w14:textId="77777777" w:rsidR="003C233B" w:rsidRDefault="00257457">
            <w:pPr>
              <w:rPr>
                <w:rFonts w:eastAsia="Times New Roman" w:cstheme="minorHAnsi"/>
              </w:rPr>
            </w:pPr>
            <w:r w:rsidRPr="00257457">
              <w:rPr>
                <w:rFonts w:eastAsia="Times New Roman" w:cstheme="minorHAnsi"/>
              </w:rPr>
              <w:t xml:space="preserve">The Director of Transitions and Completion and Transition Specialists (CTS), who are the primary points of contact for students, ensure that students are connected to the services and supports they need and refer students to internal and external partners when appropriate. </w:t>
            </w:r>
          </w:p>
          <w:p w14:paraId="52813430" w14:textId="4B1C26E7" w:rsidR="005E6A27" w:rsidRPr="00257457" w:rsidRDefault="00257457">
            <w:pPr>
              <w:rPr>
                <w:rFonts w:cstheme="minorHAnsi"/>
              </w:rPr>
            </w:pPr>
            <w:r w:rsidRPr="00257457">
              <w:rPr>
                <w:rFonts w:eastAsia="Times New Roman" w:cstheme="minorHAnsi"/>
              </w:rPr>
              <w:br/>
              <w:t>Both the Director of Transitions and Completion and Transition Specialists (CTS) ensure that students receive and have access to the resources they need and are guided through the transitions process.  Students are given one-on-one advising about goal setting and their career pathway.  Students’ progress and advising meetings are tracked by both the Director of Transitions and the CTS, with follow-up at least every-other-week during the semester they are enrolled.</w:t>
            </w:r>
            <w:r w:rsidRPr="00257457">
              <w:rPr>
                <w:rFonts w:eastAsia="Times New Roman" w:cstheme="minorHAnsi"/>
              </w:rPr>
              <w:br/>
            </w:r>
            <w:r w:rsidRPr="00257457">
              <w:rPr>
                <w:rFonts w:eastAsia="Times New Roman" w:cstheme="minorHAnsi"/>
              </w:rPr>
              <w:lastRenderedPageBreak/>
              <w:t>In addition, the IET support instructor provides information about resources available at the college.  This is incorporated within the lessons during the semester.  Skills (i.e. navigating the financial aid and/or scholarship process, borrowing books at the Library, working with job placement programs, etc.) required to be successful in both the college setting and career/job setting are taught throughout the IET support course.</w:t>
            </w:r>
          </w:p>
        </w:tc>
      </w:tr>
      <w:tr w:rsidR="00596E19" w:rsidRPr="00257457" w14:paraId="6BA2BD7D" w14:textId="77777777" w:rsidTr="00596E19">
        <w:tc>
          <w:tcPr>
            <w:tcW w:w="1260" w:type="dxa"/>
          </w:tcPr>
          <w:p w14:paraId="2B8B7A12" w14:textId="0C57056C" w:rsidR="003E34B3" w:rsidRPr="00257457" w:rsidRDefault="003E34B3">
            <w:pPr>
              <w:rPr>
                <w:rFonts w:cstheme="minorHAnsi"/>
              </w:rPr>
            </w:pPr>
            <w:r w:rsidRPr="00257457">
              <w:rPr>
                <w:rFonts w:cstheme="minorHAnsi"/>
              </w:rPr>
              <w:lastRenderedPageBreak/>
              <w:t>Technology Skills</w:t>
            </w:r>
          </w:p>
        </w:tc>
        <w:tc>
          <w:tcPr>
            <w:tcW w:w="8090" w:type="dxa"/>
          </w:tcPr>
          <w:p w14:paraId="20D6CDD2" w14:textId="7AFDD97B" w:rsidR="003E34B3" w:rsidRPr="00257457" w:rsidRDefault="00257457">
            <w:pPr>
              <w:rPr>
                <w:rFonts w:cstheme="minorHAnsi"/>
              </w:rPr>
            </w:pPr>
            <w:r w:rsidRPr="00257457">
              <w:rPr>
                <w:rFonts w:eastAsia="Times New Roman" w:cstheme="minorHAnsi"/>
              </w:rPr>
              <w:t xml:space="preserve">Students in the Pharmacy Technician IET Program improve and increase their digital literacy skills in </w:t>
            </w:r>
            <w:proofErr w:type="gramStart"/>
            <w:r w:rsidRPr="00257457">
              <w:rPr>
                <w:rFonts w:eastAsia="Times New Roman" w:cstheme="minorHAnsi"/>
              </w:rPr>
              <w:t>a number of</w:t>
            </w:r>
            <w:proofErr w:type="gramEnd"/>
            <w:r w:rsidRPr="00257457">
              <w:rPr>
                <w:rFonts w:eastAsia="Times New Roman" w:cstheme="minorHAnsi"/>
              </w:rPr>
              <w:t xml:space="preserve"> ways. </w:t>
            </w:r>
            <w:r w:rsidRPr="00257457">
              <w:rPr>
                <w:rFonts w:eastAsia="Times New Roman" w:cstheme="minorHAnsi"/>
              </w:rPr>
              <w:br/>
              <w:t>‒ They navigate Blackboard LMS on a regular basis to access the class syllabus, announcements, course content and materials, assessments, online discussions, etc.  </w:t>
            </w:r>
            <w:r w:rsidRPr="00257457">
              <w:rPr>
                <w:rFonts w:eastAsia="Times New Roman" w:cstheme="minorHAnsi"/>
              </w:rPr>
              <w:br/>
              <w:t xml:space="preserve">‒ They practice using digital literacy applications (i.e. using calculators and mathematical phone apps) </w:t>
            </w:r>
            <w:r w:rsidRPr="00257457">
              <w:rPr>
                <w:rFonts w:eastAsia="Times New Roman" w:cstheme="minorHAnsi"/>
              </w:rPr>
              <w:br/>
              <w:t>‒ They regularly conduct internet searches, do presentations, work with spreadsheets, email, etc.</w:t>
            </w:r>
            <w:r w:rsidRPr="00257457">
              <w:rPr>
                <w:rFonts w:eastAsia="Times New Roman" w:cstheme="minorHAnsi"/>
              </w:rPr>
              <w:br/>
              <w:t>‒ They learn how to use a variety of industry specific technology tools in the Pharmacy Technician simulated lab on campus</w:t>
            </w:r>
          </w:p>
        </w:tc>
      </w:tr>
    </w:tbl>
    <w:p w14:paraId="5EE93410" w14:textId="77777777" w:rsidR="003E34B3" w:rsidRPr="00257457" w:rsidRDefault="003E34B3">
      <w:pPr>
        <w:rPr>
          <w:rFonts w:cstheme="minorHAnsi"/>
        </w:rPr>
      </w:pPr>
    </w:p>
    <w:sectPr w:rsidR="003E34B3" w:rsidRPr="00257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B3"/>
    <w:rsid w:val="00257457"/>
    <w:rsid w:val="003C233B"/>
    <w:rsid w:val="003E34B3"/>
    <w:rsid w:val="005123DE"/>
    <w:rsid w:val="00596E19"/>
    <w:rsid w:val="005B47FD"/>
    <w:rsid w:val="005C7539"/>
    <w:rsid w:val="005E6A27"/>
    <w:rsid w:val="008F1CF7"/>
    <w:rsid w:val="00F5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1414"/>
  <w15:chartTrackingRefBased/>
  <w15:docId w15:val="{061AD746-9C67-45FB-9F4B-E74BFD98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044070">
      <w:bodyDiv w:val="1"/>
      <w:marLeft w:val="0"/>
      <w:marRight w:val="0"/>
      <w:marTop w:val="0"/>
      <w:marBottom w:val="0"/>
      <w:divBdr>
        <w:top w:val="none" w:sz="0" w:space="0" w:color="auto"/>
        <w:left w:val="none" w:sz="0" w:space="0" w:color="auto"/>
        <w:bottom w:val="none" w:sz="0" w:space="0" w:color="auto"/>
        <w:right w:val="none" w:sz="0" w:space="0" w:color="auto"/>
      </w:divBdr>
    </w:div>
    <w:div w:id="1333264866">
      <w:bodyDiv w:val="1"/>
      <w:marLeft w:val="0"/>
      <w:marRight w:val="0"/>
      <w:marTop w:val="0"/>
      <w:marBottom w:val="0"/>
      <w:divBdr>
        <w:top w:val="none" w:sz="0" w:space="0" w:color="auto"/>
        <w:left w:val="none" w:sz="0" w:space="0" w:color="auto"/>
        <w:bottom w:val="none" w:sz="0" w:space="0" w:color="auto"/>
        <w:right w:val="none" w:sz="0" w:space="0" w:color="auto"/>
      </w:divBdr>
    </w:div>
    <w:div w:id="1432974763">
      <w:bodyDiv w:val="1"/>
      <w:marLeft w:val="0"/>
      <w:marRight w:val="0"/>
      <w:marTop w:val="0"/>
      <w:marBottom w:val="0"/>
      <w:divBdr>
        <w:top w:val="none" w:sz="0" w:space="0" w:color="auto"/>
        <w:left w:val="none" w:sz="0" w:space="0" w:color="auto"/>
        <w:bottom w:val="none" w:sz="0" w:space="0" w:color="auto"/>
        <w:right w:val="none" w:sz="0" w:space="0" w:color="auto"/>
      </w:divBdr>
    </w:div>
    <w:div w:id="17122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Gerberding, Angela</dc:creator>
  <cp:keywords/>
  <dc:description/>
  <cp:lastModifiedBy>Gerberding, Angela</cp:lastModifiedBy>
  <cp:revision>2</cp:revision>
  <dcterms:created xsi:type="dcterms:W3CDTF">2022-04-11T21:19:00Z</dcterms:created>
  <dcterms:modified xsi:type="dcterms:W3CDTF">2022-04-11T21:19:00Z</dcterms:modified>
</cp:coreProperties>
</file>