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D" w:rsidRDefault="00D86595" w:rsidP="00D8659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ICAPS </w:t>
      </w:r>
      <w:r w:rsidR="00420737">
        <w:rPr>
          <w:sz w:val="48"/>
          <w:szCs w:val="48"/>
        </w:rPr>
        <w:t>WELD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222"/>
        <w:gridCol w:w="8280"/>
        <w:gridCol w:w="2178"/>
      </w:tblGrid>
      <w:tr w:rsidR="004D2504" w:rsidTr="004D2504">
        <w:tc>
          <w:tcPr>
            <w:tcW w:w="936" w:type="dxa"/>
            <w:shd w:val="clear" w:color="auto" w:fill="D9D9D9" w:themeFill="background1" w:themeFillShade="D9"/>
          </w:tcPr>
          <w:p w:rsidR="004D2504" w:rsidRDefault="004D2504" w:rsidP="00D86595">
            <w:pPr>
              <w:jc w:val="center"/>
              <w:rPr>
                <w:b/>
                <w:szCs w:val="24"/>
              </w:rPr>
            </w:pPr>
          </w:p>
          <w:p w:rsidR="004D2504" w:rsidRPr="00D86595" w:rsidRDefault="004D2504" w:rsidP="004D2504">
            <w:pPr>
              <w:rPr>
                <w:b/>
                <w:szCs w:val="24"/>
              </w:rPr>
            </w:pPr>
            <w:r w:rsidRPr="00D86595">
              <w:rPr>
                <w:b/>
                <w:szCs w:val="24"/>
              </w:rPr>
              <w:t>WEEK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4D2504" w:rsidRDefault="004D2504" w:rsidP="00D86595">
            <w:pPr>
              <w:jc w:val="center"/>
              <w:rPr>
                <w:b/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b/>
                <w:szCs w:val="24"/>
              </w:rPr>
            </w:pPr>
            <w:r w:rsidRPr="00D86595">
              <w:rPr>
                <w:b/>
                <w:szCs w:val="24"/>
              </w:rPr>
              <w:t>OUTCOMES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4D2504" w:rsidRDefault="004D2504" w:rsidP="00D86595">
            <w:pPr>
              <w:jc w:val="center"/>
              <w:rPr>
                <w:b/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b/>
                <w:szCs w:val="24"/>
              </w:rPr>
            </w:pPr>
            <w:r w:rsidRPr="00D86595">
              <w:rPr>
                <w:b/>
                <w:szCs w:val="24"/>
              </w:rPr>
              <w:t>CONTENT ACTIVITIES/RESOURCES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4D2504" w:rsidRDefault="004D2504" w:rsidP="00D86595">
            <w:pPr>
              <w:jc w:val="center"/>
              <w:rPr>
                <w:b/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b/>
                <w:szCs w:val="24"/>
              </w:rPr>
            </w:pPr>
            <w:r w:rsidRPr="00D86595">
              <w:rPr>
                <w:b/>
                <w:szCs w:val="24"/>
              </w:rPr>
              <w:t>ASSESSMENT</w:t>
            </w:r>
          </w:p>
        </w:tc>
      </w:tr>
      <w:tr w:rsidR="004D2504" w:rsidTr="004D2504">
        <w:trPr>
          <w:trHeight w:val="4553"/>
        </w:trPr>
        <w:tc>
          <w:tcPr>
            <w:tcW w:w="936" w:type="dxa"/>
          </w:tcPr>
          <w:p w:rsidR="004D2504" w:rsidRPr="00D86595" w:rsidRDefault="002A7D9D" w:rsidP="00D865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8310E3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</w:tcPr>
          <w:p w:rsidR="004D2504" w:rsidRPr="00D86595" w:rsidRDefault="00C60048" w:rsidP="008310E3">
            <w:pPr>
              <w:rPr>
                <w:szCs w:val="24"/>
              </w:rPr>
            </w:pPr>
            <w:r>
              <w:rPr>
                <w:szCs w:val="24"/>
              </w:rPr>
              <w:t xml:space="preserve">Catalyzing effective </w:t>
            </w:r>
            <w:r w:rsidR="002A7D9D">
              <w:rPr>
                <w:szCs w:val="24"/>
              </w:rPr>
              <w:t>reading strategies and note taking techniques.</w:t>
            </w: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</w:tc>
        <w:tc>
          <w:tcPr>
            <w:tcW w:w="8280" w:type="dxa"/>
          </w:tcPr>
          <w:p w:rsidR="004D2504" w:rsidRPr="00D86595" w:rsidRDefault="002A7D9D" w:rsidP="002A7D9D">
            <w:pPr>
              <w:rPr>
                <w:szCs w:val="24"/>
              </w:rPr>
            </w:pPr>
            <w:r>
              <w:rPr>
                <w:szCs w:val="24"/>
              </w:rPr>
              <w:t>I discussed reading strategies, emphasizing that one does not read everything the same way. I particularly emphasized previewing and active reading, using Mortimer Adler’s essay “How to Mark a Book” to catalyze discussion of annotations.</w:t>
            </w: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  <w:p w:rsidR="004D2504" w:rsidRPr="00D86595" w:rsidRDefault="004D2504" w:rsidP="00D86595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:rsidR="004D2504" w:rsidRPr="00D86595" w:rsidRDefault="00C60048" w:rsidP="002A7D9D">
            <w:pPr>
              <w:rPr>
                <w:szCs w:val="24"/>
              </w:rPr>
            </w:pPr>
            <w:r>
              <w:rPr>
                <w:szCs w:val="24"/>
              </w:rPr>
              <w:t xml:space="preserve">Students were </w:t>
            </w:r>
            <w:r w:rsidR="002A7D9D">
              <w:rPr>
                <w:szCs w:val="24"/>
              </w:rPr>
              <w:t>given an assignment to familiarize themselves with their textbooks. They were also required to submit their notes from their WELD courses the following week (demonstrating some of the techniques discussed).</w:t>
            </w:r>
          </w:p>
        </w:tc>
      </w:tr>
      <w:tr w:rsidR="00D86595" w:rsidTr="00BB1441">
        <w:trPr>
          <w:trHeight w:val="4553"/>
        </w:trPr>
        <w:tc>
          <w:tcPr>
            <w:tcW w:w="14616" w:type="dxa"/>
            <w:gridSpan w:val="4"/>
          </w:tcPr>
          <w:p w:rsidR="00D86595" w:rsidRDefault="00D86595" w:rsidP="00D86595">
            <w:pPr>
              <w:rPr>
                <w:szCs w:val="24"/>
              </w:rPr>
            </w:pPr>
          </w:p>
          <w:p w:rsidR="002A7D9D" w:rsidRPr="00233282" w:rsidRDefault="00D86595" w:rsidP="002A7D9D">
            <w:pPr>
              <w:rPr>
                <w:szCs w:val="24"/>
              </w:rPr>
            </w:pPr>
            <w:r w:rsidRPr="00D86595">
              <w:rPr>
                <w:b/>
                <w:szCs w:val="24"/>
              </w:rPr>
              <w:t>NOTES:</w:t>
            </w:r>
            <w:r w:rsidR="008310E3">
              <w:rPr>
                <w:b/>
                <w:szCs w:val="24"/>
              </w:rPr>
              <w:t xml:space="preserve"> </w:t>
            </w:r>
            <w:r w:rsidR="00233282">
              <w:rPr>
                <w:szCs w:val="24"/>
              </w:rPr>
              <w:t xml:space="preserve">The students took to this pretty well. A lot of them had never heard of reading different things differently according to their worth or use. They found it to be especially useful considering a lot of them have trouble reading the dense and </w:t>
            </w:r>
            <w:proofErr w:type="spellStart"/>
            <w:r w:rsidR="00233282">
              <w:rPr>
                <w:szCs w:val="24"/>
              </w:rPr>
              <w:t>jargonistic</w:t>
            </w:r>
            <w:proofErr w:type="spellEnd"/>
            <w:r w:rsidR="00233282">
              <w:rPr>
                <w:szCs w:val="24"/>
              </w:rPr>
              <w:t xml:space="preserve"> language of their textbook. By approaching it in different ways, I fell many more of them will get through the readings rather than giving up or not doing them. </w:t>
            </w:r>
          </w:p>
          <w:p w:rsidR="004735CC" w:rsidRPr="00C60048" w:rsidRDefault="004735CC" w:rsidP="00C60048">
            <w:pPr>
              <w:rPr>
                <w:szCs w:val="24"/>
              </w:rPr>
            </w:pPr>
          </w:p>
        </w:tc>
      </w:tr>
    </w:tbl>
    <w:p w:rsidR="00D86595" w:rsidRPr="00D86595" w:rsidRDefault="00D86595" w:rsidP="00420737">
      <w:pPr>
        <w:jc w:val="center"/>
        <w:rPr>
          <w:sz w:val="48"/>
          <w:szCs w:val="48"/>
        </w:rPr>
      </w:pPr>
    </w:p>
    <w:sectPr w:rsidR="00D86595" w:rsidRPr="00D86595" w:rsidSect="00D865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95"/>
    <w:rsid w:val="000B5784"/>
    <w:rsid w:val="00233282"/>
    <w:rsid w:val="00255F30"/>
    <w:rsid w:val="002A1C1C"/>
    <w:rsid w:val="002A7D9D"/>
    <w:rsid w:val="003236B8"/>
    <w:rsid w:val="00365576"/>
    <w:rsid w:val="00420737"/>
    <w:rsid w:val="004735CC"/>
    <w:rsid w:val="004D2504"/>
    <w:rsid w:val="005E587B"/>
    <w:rsid w:val="006F39EE"/>
    <w:rsid w:val="008310E3"/>
    <w:rsid w:val="00903E6F"/>
    <w:rsid w:val="00925595"/>
    <w:rsid w:val="00B224CF"/>
    <w:rsid w:val="00B26F6F"/>
    <w:rsid w:val="00B94E65"/>
    <w:rsid w:val="00C0531A"/>
    <w:rsid w:val="00C52F13"/>
    <w:rsid w:val="00C60048"/>
    <w:rsid w:val="00D40BB8"/>
    <w:rsid w:val="00D86595"/>
    <w:rsid w:val="00EA45A1"/>
    <w:rsid w:val="00F64592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Goldammer, Sarah</cp:lastModifiedBy>
  <cp:revision>2</cp:revision>
  <cp:lastPrinted>2014-01-28T20:53:00Z</cp:lastPrinted>
  <dcterms:created xsi:type="dcterms:W3CDTF">2014-10-01T15:35:00Z</dcterms:created>
  <dcterms:modified xsi:type="dcterms:W3CDTF">2014-10-01T15:35:00Z</dcterms:modified>
</cp:coreProperties>
</file>